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4A3BF6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4A3BF6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DA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15BA4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C80BC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0C2AA2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BC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115BA4" w:rsidRPr="000C2AA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</w:t>
            </w:r>
            <w:r w:rsidR="00115BA4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B3E" w:rsidRPr="00973725" w:rsidRDefault="00B76E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кспертиз коррупциогенных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которому граждане могут конфидициально, не опасаясь преследования, сообщать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возможных коррупционных правонарушениях, в том числе о возможных проявлениях клановости и фактах дискриминации по национальному и религиозному признакам.</w:t>
            </w:r>
          </w:p>
          <w:p w:rsidR="008B08EB" w:rsidRPr="00973725" w:rsidRDefault="008B08EB" w:rsidP="00FF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8B08EB" w:rsidRPr="003016B6" w:rsidRDefault="008B08EB" w:rsidP="006D1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91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A6D" w:rsidRPr="0030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году Управлением не проводилось.</w:t>
            </w:r>
          </w:p>
          <w:p w:rsidR="0025305B" w:rsidRPr="003016B6" w:rsidRDefault="0025305B" w:rsidP="006D1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BF6" w:rsidRPr="003016B6" w:rsidRDefault="004A3BF6" w:rsidP="004A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Особо в 2022 г. обсуждались вопросы касаемо заполнения разделов: «3.3. Цифровые финансовые активы, цифровые права, включающие одновременно цифровые финансовые активы и иные цифровые права», «3.4. Утилитарные цифровые права »и «3.5. Цифровая валюта».</w:t>
            </w:r>
          </w:p>
          <w:p w:rsidR="008B08EB" w:rsidRDefault="004A3BF6" w:rsidP="004A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</w:p>
          <w:p w:rsid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FA" w:rsidRPr="003016B6" w:rsidRDefault="00CD6EFA" w:rsidP="004A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CD6EFA">
              <w:rPr>
                <w:sz w:val="24"/>
                <w:szCs w:val="24"/>
              </w:rPr>
              <w:t xml:space="preserve">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этапе осуществления государственных закупок ведется строгое соблюдение установленных мер.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предоставления необоснованных преференций, не предусмотренных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С 5 по 9 сентября 2022 г. один государственный гражданский служащий Управления,  в должностные обязанности которых входит участие в проведении закупок товаров, работ, услуг для обеспечения государственных нужд прошел обучение по программе повышения квалификации «Антикоррупционная экспертиза нормативно-правовых актов».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На стадии разработки находится проект правового акта о внедрении положений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документа в Управлении будут реализованы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 В целях снижения коррупционных рисков также будет применено на практике декларирование о возможной личной заинтересованности гражданских служащих Управления, участвующих в государственных закупках.</w:t>
            </w:r>
          </w:p>
          <w:p w:rsidR="00CD6EFA" w:rsidRDefault="00CD6EFA" w:rsidP="00B4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EB" w:rsidRPr="003016B6" w:rsidRDefault="008B08EB" w:rsidP="00B02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в Управлении по государственной охране объектов культурного наследия Кабардино-Балкарской Республики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EB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097E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контрольно-надзорных функций. 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на Едином Партале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Упркультнаследия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Руководителям структурных подразделений рекомендовано организовать надлежащий контроль за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анализируется при изменении организационной структуры Управления и наделении структурных подразделений новыми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2022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17C" w:rsidRDefault="0018317C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будет пров</w:t>
            </w:r>
            <w:r w:rsidR="00332DB0" w:rsidRPr="00783C23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актуальными программами повышения квалификации антикоррупционной тематики в 202</w:t>
            </w:r>
            <w:r w:rsidR="00783C23" w:rsidRPr="00783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C23" w:rsidRDefault="008F7DD0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тем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сообщаем, что </w:t>
            </w:r>
            <w:r w:rsidR="002B615A">
              <w:rPr>
                <w:rFonts w:ascii="Times New Roman" w:hAnsi="Times New Roman" w:cs="Times New Roman"/>
                <w:sz w:val="24"/>
                <w:szCs w:val="24"/>
              </w:rPr>
              <w:t xml:space="preserve">с 5 по 9 сентября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профессионального образования 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два государственных гражданских служащих Управления (начальники отделов) 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="00BA0132" w:rsidRPr="00BA0132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нормативно-правовых актов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5F1F" w:rsidRPr="00973725" w:rsidRDefault="00545F1F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4A3BF6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Pr="00855AB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</w:p>
          <w:p w:rsidR="000A06AB" w:rsidRDefault="000A06AB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 5 по 9 сентября 2022 г. 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, впервые поступивший на государственную гражданскую 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службы в Управлении, замещение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вновь поступивш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декабре 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9 сентября 2022 г.</w:t>
            </w:r>
            <w:r w:rsidR="00A415CC"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</w:t>
            </w:r>
            <w:r w:rsidR="00B0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B0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B0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Управления, </w:t>
            </w:r>
            <w:r w:rsidR="00A415CC"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 прош</w:t>
            </w:r>
            <w:r w:rsidR="00B07F6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</w:t>
            </w:r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обучение по программе повышения квалификации «</w:t>
            </w:r>
            <w:r w:rsidRPr="002B615A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нормативно-правовых актов</w:t>
            </w:r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4A3BF6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Административные регламенты Управления по оказываемым государственным услугам разработаны. В настоящее время ведется 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 w:rsidRPr="00A92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16297" w:rsidRPr="00A92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1. Предоставление информации об объектах культурного наследия федерального, регионального или местного значения, включенных в единый государственный реестр объектов культурного наследия</w:t>
            </w:r>
            <w:r w:rsidRPr="00EB2AFE"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(памятников истории и культуры) народов Российской Федерации и находящихся на территории Кабардино-Балкарской Республики</w:t>
            </w:r>
            <w:r w:rsidR="00F07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C7993" w:rsidRPr="00FC7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474F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о наличии (отсутствии) объектов культурного наследия на территории подлежащей хозяйственному освоению</w:t>
            </w:r>
            <w:r w:rsidR="00F84B2D" w:rsidRPr="0099561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4468" w:rsidRPr="00FC799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3. Выдача задания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и разрешения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едия, расположенного на территории Кабардино-Балкарской Республики.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C7993" w:rsidRPr="00FC79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9E36E0" w:rsidRPr="00995616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1 (отказ)</w:t>
            </w:r>
          </w:p>
          <w:p w:rsidR="009E36E0" w:rsidRPr="00995616" w:rsidRDefault="00716297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6E0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.Утверждение отчетной документации о выполнении работ по </w:t>
            </w:r>
            <w:r w:rsidR="009E36E0" w:rsidRPr="0099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FC7993" w:rsidRP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C79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E36E0" w:rsidRP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*Из общего числа предоставляемых государственных услуг Управления, 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E39" w:rsidRPr="00792E39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наличии (отсутствии) объектов культурного наследия на территории, подлежащей хозяйственному освоению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2E39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 *</w:t>
            </w:r>
            <w:r w:rsidR="00792E39" w:rsidRPr="00792E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об объектах культурного наследия федерального, регионального или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и находящихся на территории Кабардино-Балкарской Республики ( выдача Выписки из ЕГРОКН)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 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F074C3" w:rsidRPr="00F074C3" w:rsidRDefault="00F074C3" w:rsidP="00E40B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C3">
              <w:rPr>
                <w:rFonts w:ascii="Times New Roman" w:eastAsia="Calibri" w:hAnsi="Times New Roman" w:cs="Times New Roman"/>
                <w:sz w:val="24"/>
                <w:szCs w:val="24"/>
              </w:rPr>
              <w:t>9 декабря 2022 года Управлением по вопросам противодействия коррупции Администрации Главы КБР к Международному Дню борьбы с коррупцией была проведена Межрегиональная  научно-практическая конференция на тему ««Профилактика и урегулирование конфликта интересов как фактор противодействия коррупции» (далее – Конференция), на которой рассматривались вопросы по профилактике и урегулированию конфликта интересов, как фактор противодействия коррупции. Были заслушаны доклады Спикеров. На все поступившие вопросы были даны  исчерпывающие ответы и разъяснения. По результатам работы Конференции значительно повышена осведомленность о порядке администрирования антикоррупционных стандартов.</w:t>
            </w:r>
          </w:p>
          <w:p w:rsidR="00D341A3" w:rsidRDefault="00F074C3" w:rsidP="00E40B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C3">
              <w:rPr>
                <w:rFonts w:ascii="Times New Roman" w:eastAsia="Calibri" w:hAnsi="Times New Roman" w:cs="Times New Roman"/>
                <w:sz w:val="24"/>
                <w:szCs w:val="24"/>
              </w:rPr>
              <w:t>В Конференции принял участие сотрудник, ответственный за работу по профилактике коррупционных и иных правонарушений в Управлении.</w:t>
            </w:r>
          </w:p>
          <w:p w:rsidR="00F074C3" w:rsidRPr="00973725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9C1158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DC7EAE" w:rsidRPr="003C7C83" w:rsidRDefault="00DC7EAE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отчетном периоде 2022 г.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вышеуказанных признаков и фактов нарушений законодательства РФ о противодействии коррупции не выявлено.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</w:t>
            </w: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 об исполнении законодательства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проводились.</w:t>
            </w:r>
          </w:p>
          <w:p w:rsidR="00272D0B" w:rsidRPr="00973725" w:rsidRDefault="00272D0B" w:rsidP="00E40B61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4A3BF6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порядку отбора и изучению кандидатов на государственные должности Кабардино-Балкарской Республики,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должности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клановости и дискриминации по национальному и религиозному признакам    применяются следующие кадровые технологии: 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4A3BF6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B07F6A">
      <w:pPr>
        <w:rPr>
          <w:rFonts w:ascii="Times New Roman" w:hAnsi="Times New Roman" w:cs="Times New Roman"/>
        </w:rPr>
      </w:pPr>
    </w:p>
    <w:sectPr w:rsidR="006F3B82" w:rsidRPr="00DB7C62" w:rsidSect="00126A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57CA"/>
    <w:rsid w:val="000904A3"/>
    <w:rsid w:val="00096991"/>
    <w:rsid w:val="00097EB3"/>
    <w:rsid w:val="000A06AB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E3330"/>
    <w:rsid w:val="004F0152"/>
    <w:rsid w:val="004F26E4"/>
    <w:rsid w:val="004F5066"/>
    <w:rsid w:val="00503D3A"/>
    <w:rsid w:val="00506EDF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A792A"/>
    <w:rsid w:val="008B08EB"/>
    <w:rsid w:val="008B6638"/>
    <w:rsid w:val="008B736C"/>
    <w:rsid w:val="008C1603"/>
    <w:rsid w:val="008C26E6"/>
    <w:rsid w:val="008C6601"/>
    <w:rsid w:val="008D48F1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5B15"/>
    <w:rsid w:val="009E1805"/>
    <w:rsid w:val="009E36E0"/>
    <w:rsid w:val="00A05DB4"/>
    <w:rsid w:val="00A070F5"/>
    <w:rsid w:val="00A075C5"/>
    <w:rsid w:val="00A2045F"/>
    <w:rsid w:val="00A415CC"/>
    <w:rsid w:val="00A41733"/>
    <w:rsid w:val="00A44582"/>
    <w:rsid w:val="00A50C10"/>
    <w:rsid w:val="00A60981"/>
    <w:rsid w:val="00A64420"/>
    <w:rsid w:val="00A67B0E"/>
    <w:rsid w:val="00A768DD"/>
    <w:rsid w:val="00A81238"/>
    <w:rsid w:val="00A87A95"/>
    <w:rsid w:val="00A921B4"/>
    <w:rsid w:val="00AA1428"/>
    <w:rsid w:val="00AA715E"/>
    <w:rsid w:val="00AB00E9"/>
    <w:rsid w:val="00AC414E"/>
    <w:rsid w:val="00AD132F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678AF"/>
    <w:rsid w:val="00C80BCA"/>
    <w:rsid w:val="00C83319"/>
    <w:rsid w:val="00C946B9"/>
    <w:rsid w:val="00CA26B7"/>
    <w:rsid w:val="00CA2EA2"/>
    <w:rsid w:val="00CB06B7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7C62"/>
    <w:rsid w:val="00DC6CA7"/>
    <w:rsid w:val="00DC7EAE"/>
    <w:rsid w:val="00DE7A75"/>
    <w:rsid w:val="00DF3D9F"/>
    <w:rsid w:val="00E06A0D"/>
    <w:rsid w:val="00E1196F"/>
    <w:rsid w:val="00E35BAC"/>
    <w:rsid w:val="00E40B61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7509"/>
    <w:rsid w:val="00FC1EFF"/>
    <w:rsid w:val="00FC7993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2019-13A8-4D54-A99E-FE818871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10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11</cp:revision>
  <cp:lastPrinted>2021-12-30T09:36:00Z</cp:lastPrinted>
  <dcterms:created xsi:type="dcterms:W3CDTF">2022-09-29T07:44:00Z</dcterms:created>
  <dcterms:modified xsi:type="dcterms:W3CDTF">2023-01-11T14:10:00Z</dcterms:modified>
</cp:coreProperties>
</file>